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Aviso de consulta pública ou chamada de manifestação de interesse</w:t>
      </w:r>
    </w:p>
    <w:p>
      <w:pPr>
        <w:pStyle w:val="Heading2"/>
      </w:pPr>
      <w:r>
        <w:t>Aviso de chamada pública de manifestação de interesse</w:t>
      </w:r>
    </w:p>
    <w:p>
      <w:r>
        <w:rPr>
          <w:highlight w:val="yellow"/>
        </w:rPr>
        <w:t>[Órgão contratante]</w:t>
      </w:r>
      <w:r>
        <w:t xml:space="preserve"> torna pública chamada de manifestação de interesse para conhecer soluções capazes de resolver o seguinte problema: </w:t>
      </w:r>
      <w:r>
        <w:rPr>
          <w:highlight w:val="yellow"/>
        </w:rPr>
        <w:t>[Descrição sintética do problema]</w:t>
      </w:r>
      <w:r>
        <w:t>.</w:t>
      </w:r>
    </w:p>
    <w:p>
      <w:r>
        <w:rPr>
          <w:i/>
          <w:sz w:val="18"/>
        </w:rPr>
        <w:t>Base: Lei 14.133/2021, art. 21, parágrafo único, no que couber</w:t>
      </w:r>
    </w:p>
    <w:p>
      <w:commentRangeStart w:id="0"/>
      <w:r>
        <w:t>1. Do objetivo. A chamada serve para mapear soluções em condição de teste, colher a faixa de valor que o mercado considera viável e reunir as dúvidas que o edital deve responder. O resultado alimenta a definição dos requisitos e a estimativa do valor da contratação. A chamada não é licitação e não gera contratação.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14.133/2021, art. 21, parágrafo único, no que couber; Modelo de Termo de Referência do CPSI, com notas explicativas (AGU, atualização de 26/02/2025, versão final), nota explicativa 8.0</w:t>
      </w:r>
    </w:p>
    <w:p>
      <w:r>
        <w:t xml:space="preserve">2. Do problema e dos resultados esperados. Dados do problema: </w:t>
      </w:r>
      <w:r>
        <w:rPr>
          <w:highlight w:val="yellow"/>
        </w:rPr>
        <w:t>[Dados do problema]</w:t>
      </w:r>
      <w:r>
        <w:t xml:space="preserve">. Resultado esperado: </w:t>
      </w:r>
      <w:r>
        <w:rPr>
          <w:highlight w:val="yellow"/>
        </w:rPr>
        <w:t>[Resultado esperado]</w:t>
      </w:r>
      <w:r>
        <w:t>.</w:t>
      </w:r>
    </w:p>
    <w:p>
      <w:commentRangeStart w:id="1"/>
      <w:r>
        <w:t xml:space="preserve">3. Do que se pede. Os interessados podem enviar, até </w:t>
      </w:r>
      <w:r>
        <w:rPr>
          <w:highlight w:val="yellow"/>
        </w:rPr>
        <w:t>[Prazo da consulta]</w:t>
      </w:r>
      <w:r>
        <w:t xml:space="preserve">, por </w:t>
      </w:r>
      <w:r>
        <w:rPr>
          <w:highlight w:val="yellow"/>
        </w:rPr>
        <w:t>[Canal de envio das manifestações]</w:t>
      </w:r>
      <w:r>
        <w:t>: a) descrição da abordagem proposta, sem revelar segredo industrial; b) estágio de maturidade da solução e onde já foi usada; c) faixa estimada de custo de um teste de até 12 meses; d) dados, acessos e infraestrutura que esperam da administração; e) dúvidas e sugestões sobre o problema.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14.133/2021, art. 21, parágrafo único, no que couber; Lei Complementar 182/2021, art. 14, caput</w:t>
      </w:r>
    </w:p>
    <w:p>
      <w:commentRangeStart w:id="2"/>
      <w:r>
        <w:t xml:space="preserve">4. Da sessão de esclarecimento. Haverá sessão pública e aberta em </w:t>
      </w:r>
      <w:r>
        <w:rPr>
          <w:highlight w:val="yellow"/>
        </w:rPr>
        <w:t>[Data da sessão de esclarecimento]</w:t>
      </w:r>
      <w:r>
        <w:t>, com registro em ata.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14.133/2021, art. 21, no que couber</w:t>
      </w:r>
    </w:p>
    <w:p>
      <w:r>
        <w:t>5. Da participação na licitação. Quem participar desta chamada pode participar da licitação. Quem não participar também pode. Os elementos da consulta ficam disponíveis a todos os interessados, e nenhum participante terá acesso a informação que os demais não tenham.</w:t>
      </w:r>
    </w:p>
    <w:p>
      <w:r>
        <w:rPr>
          <w:i/>
          <w:sz w:val="18"/>
        </w:rPr>
        <w:t>Base: Lei 14.133/2021, art. 21, parágrafo único, no que couber</w:t>
      </w:r>
    </w:p>
    <w:p>
      <w:r>
        <w:t>6. Da publicidade. As manifestações serão registradas no processo. O resumo consolidado será publicado sem identificar as empresas.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cita as rodadas prévias de discussões com potenciais fornecedores entre os meios de construir a estimativa do CPSI, ao lado de experiências anteriores e do comitê de especialistas (modelo de TR, nota 8.0).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Dê prazo razoável para as respostas e use formulário simples. O resultado traz três coisas: quem pode responder, a faixa de valor viável e as dúvidas que o edital precisa antecipar.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sessão é opcional. Se for audiência pública sobre a licitação, a Lei 14.133/2021 pede convocação com antecedência mínima de 8 dias úteis e manifestação de todos os interessados (art. 21, no que couber).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Aviso de consulta pública ou chamada de manifestação de interesse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