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Estudo Técnico Preliminar adaptado ao CPSI (ETP-CPSI)</w:t>
      </w:r>
    </w:p>
    <w:p>
      <w:pPr>
        <w:pStyle w:val="Heading2"/>
      </w:pPr>
      <w:commentRangeStart w:id="0"/>
      <w:commentRangeStart w:id="1"/>
      <w:r>
        <w:t>Estudo Técnico Preliminar adaptado ao CPSI</w:t>
      </w:r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</w:p>
    <w:p>
      <w:r>
        <w:t xml:space="preserve">1. Da necessidade. Problema: </w:t>
      </w:r>
      <w:r>
        <w:rPr>
          <w:highlight w:val="yellow"/>
        </w:rPr>
        <w:t>[Descrição sintética do problema]</w:t>
      </w:r>
      <w:r>
        <w:t xml:space="preserve">. Dados que o dimensionam: </w:t>
      </w:r>
      <w:r>
        <w:rPr>
          <w:highlight w:val="yellow"/>
        </w:rPr>
        <w:t>[Dados do problema]</w:t>
      </w:r>
      <w:r>
        <w:t>.</w:t>
      </w:r>
    </w:p>
    <w:p>
      <w:r>
        <w:rPr>
          <w:i/>
          <w:sz w:val="18"/>
        </w:rPr>
        <w:t>Base: Lei 14.133/2021, art. 18, § 1º, I</w:t>
      </w:r>
    </w:p>
    <w:p>
      <w:r>
        <w:t xml:space="preserve">2. Do plano de contratações anual. A previsão da contratação no plano de contratações anual, ou o motivo da ausência, está registrada no DFD </w:t>
      </w:r>
      <w:r>
        <w:rPr>
          <w:highlight w:val="yellow"/>
        </w:rPr>
        <w:t>[Número do DFD]</w:t>
      </w:r>
      <w:r>
        <w:t>.</w:t>
      </w:r>
    </w:p>
    <w:p>
      <w:r>
        <w:rPr>
          <w:i/>
          <w:sz w:val="18"/>
        </w:rPr>
        <w:t>Base: Lei 14.133/2021, art. 18, § 1º, II</w:t>
      </w:r>
    </w:p>
    <w:p>
      <w:r>
        <w:t xml:space="preserve">3. Dos resultados pretendidos. Indicador: </w:t>
      </w:r>
      <w:r>
        <w:rPr>
          <w:highlight w:val="yellow"/>
        </w:rPr>
        <w:t>[Indicador do resultado]</w:t>
      </w:r>
      <w:r>
        <w:t xml:space="preserve">. Linha de base: </w:t>
      </w:r>
      <w:r>
        <w:rPr>
          <w:highlight w:val="yellow"/>
        </w:rPr>
        <w:t>[Linha de base do indicador]</w:t>
      </w:r>
      <w:r>
        <w:t xml:space="preserve">. Meta ao fim do teste: </w:t>
      </w:r>
      <w:r>
        <w:rPr>
          <w:highlight w:val="yellow"/>
        </w:rPr>
        <w:t>[Meta do indicador]</w:t>
      </w:r>
      <w:r>
        <w:t>.</w:t>
      </w:r>
    </w:p>
    <w:p>
      <w:r>
        <w:rPr>
          <w:i/>
          <w:sz w:val="18"/>
        </w:rPr>
        <w:t>Base: Lei 14.133/2021, art. 18, § 1º, IX</w:t>
      </w:r>
    </w:p>
    <w:p>
      <w:commentRangeStart w:id="2"/>
      <w:r>
        <w:t xml:space="preserve">4. Dos requisitos da contratação. O teste ocorrerá em </w:t>
      </w:r>
      <w:r>
        <w:rPr>
          <w:highlight w:val="yellow"/>
        </w:rPr>
        <w:t>[Ambiente de teste]</w:t>
      </w:r>
      <w:r>
        <w:t xml:space="preserve">. Usuários, dados e infraestrutura disponíveis: </w:t>
      </w:r>
      <w:r>
        <w:rPr>
          <w:highlight w:val="yellow"/>
        </w:rPr>
        <w:t>[Usuários, dados e infraestrutura]</w:t>
      </w:r>
      <w:r>
        <w:t xml:space="preserve">. Requisitos funcionais ou de desempenho, se houver: </w:t>
      </w:r>
      <w:r>
        <w:rPr>
          <w:highlight w:val="yellow"/>
        </w:rPr>
        <w:t>[Requisitos de resultado]</w:t>
      </w:r>
      <w:r>
        <w:t xml:space="preserve">. Critérios e práticas de sustentabilidade aplicáveis: </w:t>
      </w:r>
      <w:r>
        <w:rPr>
          <w:highlight w:val="yellow"/>
        </w:rPr>
        <w:t>[Critérios de sustentabilidade]</w:t>
      </w:r>
      <w:r>
        <w:t>. Restrições legais aplicáveis: proteção de dados pessoais, normas setoriais e, se houver, regime de sandbox regulatório.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14.133/2021, art. 18, § 1º, III; Lei Complementar 182/2021, art. 13, § 1º; Lei 13.709/2018 (Lei Geral de Proteção de Dados Pessoais), art. 6º</w:t>
      </w:r>
    </w:p>
    <w:p>
      <w:commentRangeStart w:id="3"/>
      <w:r>
        <w:t xml:space="preserve">5. Do levantamento de mercado. Soluções já existentes e por que não atendem à necessidade: </w:t>
      </w:r>
      <w:r>
        <w:rPr>
          <w:highlight w:val="yellow"/>
        </w:rPr>
        <w:t>[Soluções do mercado e por que não atendem]</w:t>
      </w:r>
      <w:r>
        <w:t xml:space="preserve">. Abordagens tecnológicas mapeadas: </w:t>
      </w:r>
      <w:r>
        <w:rPr>
          <w:highlight w:val="yellow"/>
        </w:rPr>
        <w:t>[Abordagens tecnológicas possíveis]</w:t>
      </w:r>
      <w:r>
        <w:t>. Nenhuma será imposta aos proponentes.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14.133/2021, art. 18, § 1º, V; Lei Complementar 182/2021, art. 13, § 1º</w:t>
      </w:r>
    </w:p>
    <w:p>
      <w:commentRangeStart w:id="4"/>
      <w:r>
        <w:t>A descrição da solução como um todo e de suas especificações técnicas é dispensada por força do art. 13, § 1º, da Lei Complementar 182/2021. O escopo se limita ao problema, aos resultados esperados e aos desafios tecnológicos.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13, § 1º; Lei 14.133/2021, art. 18, § 1º, VII</w:t>
      </w:r>
    </w:p>
    <w:p>
      <w:r>
        <w:t xml:space="preserve">6. Da estimativa de valor. Valor estimado de </w:t>
      </w:r>
      <w:r>
        <w:rPr>
          <w:highlight w:val="yellow"/>
        </w:rPr>
        <w:t>[Valor estimado]</w:t>
      </w:r>
      <w:r>
        <w:t>, conforme o método e a memória de cálculo da memória de estimativa anexa.</w:t>
      </w:r>
    </w:p>
    <w:p>
      <w:r>
        <w:rPr>
          <w:i/>
          <w:sz w:val="18"/>
        </w:rPr>
        <w:t>Base: Lei 14.133/2021, art. 18, § 1º, VI; Lei Complementar 182/2021, art. 14, § 2º</w:t>
      </w:r>
    </w:p>
    <w:p>
      <w:r>
        <w:t xml:space="preserve">7. Das quantidades e do parcelamento. Serão selecionadas até </w:t>
      </w:r>
      <w:r>
        <w:rPr>
          <w:highlight w:val="yellow"/>
        </w:rPr>
        <w:t>[Número máximo de propostas selecionadas]</w:t>
      </w:r>
      <w:r>
        <w:t xml:space="preserve"> propostas, com um CPSI para cada uma, pelo seguinte motivo: </w:t>
      </w:r>
      <w:r>
        <w:rPr>
          <w:highlight w:val="yellow"/>
        </w:rPr>
        <w:t>[Motivo do número de propostas]</w:t>
      </w:r>
      <w:r>
        <w:t xml:space="preserve">. Parcelamento da contratação: </w:t>
      </w:r>
      <w:r>
        <w:rPr>
          <w:highlight w:val="yellow"/>
        </w:rPr>
        <w:t>[Parcelamento da contratação]</w:t>
      </w:r>
      <w:r>
        <w:t>.</w:t>
      </w:r>
    </w:p>
    <w:p>
      <w:r>
        <w:rPr>
          <w:i/>
          <w:sz w:val="18"/>
        </w:rPr>
        <w:t>Base: Lei Complementar 182/2021, art. 13, § 6º; Lei 14.133/2021, art. 18, § 1º, IV e VIII</w:t>
      </w:r>
    </w:p>
    <w:p>
      <w:commentRangeStart w:id="5"/>
      <w:r>
        <w:t xml:space="preserve">8. Da participação. Admitem-se pessoas físicas, pessoas jurídicas com ou sem fins lucrativos, Instituições Científicas, Tecnológicas e de Inovação, cooperativas e consórcios, salvo </w:t>
      </w:r>
      <w:r>
        <w:rPr>
          <w:highlight w:val="yellow"/>
        </w:rPr>
        <w:t>[Restrições à participação]</w:t>
      </w:r>
      <w:r>
        <w:t xml:space="preserve">, pelo seguinte motivo: </w:t>
      </w:r>
      <w:r>
        <w:rPr>
          <w:highlight w:val="yellow"/>
        </w:rPr>
        <w:t>[Motivo das restrições à participação]</w:t>
      </w:r>
      <w:r>
        <w:t>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Complementar 182/2021, art. 13, caput; Modelo de Termo de Referência do CPSI, com notas explicativas (AGU, atualização de 26/02/2025, versão final), notas explicativas 5.2.1, 5.2.8 e 5.2.10</w:t>
      </w:r>
    </w:p>
    <w:p>
      <w:commentRangeStart w:id="6"/>
      <w:r>
        <w:t xml:space="preserve">9. Do modelo de execução. Vistoria: </w:t>
      </w:r>
      <w:r>
        <w:rPr>
          <w:highlight w:val="yellow"/>
        </w:rPr>
        <w:t>[Decisão sobre vistoria]</w:t>
      </w:r>
      <w:r>
        <w:t xml:space="preserve">. Subcontratação: </w:t>
      </w:r>
      <w:r>
        <w:rPr>
          <w:highlight w:val="yellow"/>
        </w:rPr>
        <w:t>[Decisão sobre subcontratação]</w:t>
      </w:r>
      <w:r>
        <w:t xml:space="preserve">. Consórcio: </w:t>
      </w:r>
      <w:r>
        <w:rPr>
          <w:highlight w:val="yellow"/>
        </w:rPr>
        <w:t>[Decisão sobre consórcio]</w:t>
      </w:r>
      <w:r>
        <w:t xml:space="preserve">. Garantia contratual: </w:t>
      </w:r>
      <w:r>
        <w:rPr>
          <w:highlight w:val="yellow"/>
        </w:rPr>
        <w:t>[Decisão sobre garantia contratual]</w:t>
      </w:r>
      <w:r>
        <w:t>.</w:t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14.133/2021, art. 18, III, no que couber; Lei Complementar 182/2021, art. 13, § 8º, II; Modelo de Termo de Referência do CPSI, com notas explicativas (AGU, atualização de 26/02/2025, versão final), itens 3.3, 3.4, 6.3 e 6.4</w:t>
      </w:r>
    </w:p>
    <w:p>
      <w:r>
        <w:t xml:space="preserve">10. Das etapas. O teste terá as etapas a seguir, com duração estimada: </w:t>
      </w:r>
      <w:r>
        <w:rPr>
          <w:highlight w:val="yellow"/>
        </w:rPr>
        <w:t>[Etapas, metas e prazos]</w:t>
      </w:r>
      <w:r>
        <w:t>.</w:t>
      </w:r>
    </w:p>
    <w:p>
      <w:r>
        <w:rPr>
          <w:i/>
          <w:sz w:val="18"/>
        </w:rPr>
        <w:t>Base: Lei Complementar 182/2021, art. 14, caput e § 6º</w:t>
      </w:r>
    </w:p>
    <w:p>
      <w:r>
        <w:t xml:space="preserve">11. Das providências da administração. Antes e durante o teste, a administração providenciará: </w:t>
      </w:r>
      <w:r>
        <w:rPr>
          <w:highlight w:val="yellow"/>
        </w:rPr>
        <w:t>[Providências da administração]</w:t>
      </w:r>
      <w:r>
        <w:t>.</w:t>
      </w:r>
    </w:p>
    <w:p>
      <w:r>
        <w:rPr>
          <w:i/>
          <w:sz w:val="18"/>
        </w:rPr>
        <w:t>Base: Lei 14.133/2021, art. 18, § 1º, X</w:t>
      </w:r>
    </w:p>
    <w:p>
      <w:r>
        <w:t xml:space="preserve">12. Dos riscos. Os principais riscos estão no mapa de riscos anexo: </w:t>
      </w:r>
      <w:r>
        <w:rPr>
          <w:highlight w:val="yellow"/>
        </w:rPr>
        <w:t>[Principais riscos]</w:t>
      </w:r>
      <w:r>
        <w:t>.</w:t>
      </w:r>
    </w:p>
    <w:p>
      <w:r>
        <w:rPr>
          <w:i/>
          <w:sz w:val="18"/>
        </w:rPr>
        <w:t>Base: Lei 14.133/2021, art. 18, X</w:t>
      </w:r>
    </w:p>
    <w:p>
      <w:r>
        <w:t xml:space="preserve">13. Da consulta ao mercado. Resultado: </w:t>
      </w:r>
      <w:r>
        <w:rPr>
          <w:highlight w:val="yellow"/>
        </w:rPr>
        <w:t>[Resultado da consulta ao mercado]</w:t>
      </w:r>
      <w:r>
        <w:t>.</w:t>
      </w:r>
    </w:p>
    <w:p>
      <w:r>
        <w:t>14. Da viabilidade. Conclui-se pela viabilidade da contratação do teste, na forma do Capítulo VI da LC 182/2021.</w:t>
      </w:r>
    </w:p>
    <w:p>
      <w:r>
        <w:rPr>
          <w:i/>
          <w:sz w:val="18"/>
        </w:rPr>
        <w:t>Base: Lei 14.133/2021, art. 18, § 1º, XIII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 xml:space="preserve">. Ciente: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ETP do CPSI mantém a estrutura do art. 18, § 1º, da Lei 14.133/2021, no que couber. O § 2º exige ao menos a necessidade, as quantidades, a estimativa do valor, o parcelamento e a posição conclusiva; os demais elementos, se não tratados, pedem justificativa. No CPSI, a descrição da solução dá lugar à do problema e dos resultados (LC 182/2021, art. 13, § 1º).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edital-modelo da AGU, o ETP integra o edital como anexo II. Na União, ele é feito no Sistema ETP Digital, segundo a instrução normativa federal de compras citada pela AGU (modelo de TR, nota 3.0). Estados e municípios seguem a própria norma de planejamento. Conferir a norma do seu ente.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descreve os requisitos como especificações funcionais ou de desempenho e práticas de sustentabilidade, sem descrever a solução. Requisito excessivo pode impedir a participação: flexibilize sempre que possível (modelo de TR, nota 3.0).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O TCE-PR tratou como falha de planejamento presumir, sem base técnica ou documental, que o mercado não resolve o problema, e anulou um CPSI municipal cujo objeto já era contratado por licitação comum (Acórdão 1428/2026, Tribunal Pleno). Integração de sistemas, adaptação local e interoperabilidade não bastam, sozinhas, para caracterizar solução inovadora. É decisão de tribunal de contas estadual, com efeito na jurisdição do Paraná. Verificação municipal ou estadual necessária.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Esse parágrafo evita o apontamento de ETP incompleto. Para a AGU, a falta dessa descrição no CPSI não é falha de preparo: é a lógica do instrumento (manual, parte IV). Não apague.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admite pessoas físicas ou jurídicas, isoladamente ou em consórcio (art. 13). Para a AGU, excluir pessoas físicas exige justificativa no ETP; excluir entidades sem fins lucrativos exige justificativa à luz do objeto; a participação de cooperativas deve ser decidida de forma motivada (modelo de TR, notas 5.2.1, 5.2.8 e 5.2.10).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pede que essas escolhas sejam definidas e justificadas no planejamento e transcritas no TR (modelo de TR, notas 3.0, 3.4 e 6.0). A garantia pode ser dispensada com justificativa (LC 182/2021, art. 13, § 8º, II). A vedação de consórcio precisa ser justificada (Lei 14.133/2021, art. 15, no que couber).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Estudo Técnico Preliminar adaptado ao CPSI (ETP-CPSI)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