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Quadro de metas e indicadores (anexo II da minuta do CPSI)</w:t>
      </w:r>
    </w:p>
    <w:p>
      <w:pPr>
        <w:pStyle w:val="Heading2"/>
      </w:pPr>
      <w:r>
        <w:t xml:space="preserve">Quadro de metas e indicadores. Anexo II do CPSI. Licitação </w:t>
      </w:r>
      <w:r>
        <w:rPr>
          <w:highlight w:val="yellow"/>
        </w:rPr>
        <w:t>[Número da licitação]</w:t>
      </w:r>
    </w:p>
    <w:p>
      <w:commentRangeStart w:id="0"/>
      <w:r>
        <w:t>1. Este quadro contém as metas a atingir para validar o êxito da solução inovadora, os prazos de execução e os critérios objetivos de medição do desempenho, por indicadores. Integra o CPSI como anexo II, ao lado do Plano de Testes e cronograma físico-financeiro (anexo I) e da matriz de riscos (anexo III).</w:t>
      </w:r>
      <w:commentRangeEnd w:id="0"/>
      <w:r>
        <w:rPr>
          <w:rStyle w:val="CommentReference"/>
        </w:rPr>
        <w:commentReference w:id="0"/>
      </w:r>
    </w:p>
    <w:p>
      <w:r>
        <w:rPr>
          <w:i/>
          <w:sz w:val="18"/>
        </w:rPr>
        <w:t>Base: Lei Complementar 182/2021, art. 14, § 1º, I; Modelo de Contrato do CPSI, com notas explicativas (AGU, atualização de 26/02/2025, versão final), itens 1.3 e 9.6 e anexo II; Modelo de Contrato do CPSI, com notas explicativas (AGU, atualização de 26/02/2025, versão final), item 1.5</w:t>
      </w:r>
    </w:p>
    <w:p>
      <w:r>
        <w:t>2. Etapa 1, plano de trabalho e prova de conceito (</w:t>
      </w:r>
      <w:r>
        <w:rPr>
          <w:highlight w:val="yellow"/>
        </w:rPr>
        <w:t>[Prazo da etapa 1]</w:t>
      </w:r>
      <w:r>
        <w:t xml:space="preserve">). Meta: plano de trabalho aprovado e a solução processa </w:t>
      </w:r>
      <w:r>
        <w:rPr>
          <w:highlight w:val="yellow"/>
        </w:rPr>
        <w:t>[Casos reais da prova de conceito]</w:t>
      </w:r>
      <w:r>
        <w:t xml:space="preserve"> casos reais com o desempenho mínimo do alvo. Indicador: aprovação formal e acurácia ou taxa de sucesso. Linha de base: </w:t>
      </w:r>
      <w:r>
        <w:rPr>
          <w:highlight w:val="yellow"/>
        </w:rPr>
        <w:t>[Linha de base da prova de conceito]</w:t>
      </w:r>
      <w:r>
        <w:t xml:space="preserve">. Alvo: </w:t>
      </w:r>
      <w:r>
        <w:rPr>
          <w:highlight w:val="yellow"/>
        </w:rPr>
        <w:t>[Alvo da prova de conceito]</w:t>
      </w:r>
      <w:r>
        <w:t xml:space="preserve">. Evidência: termo de aprovação e relatório de teste com registros e amostra auditada. Quem afere: fiscal técnico, com apoio do comitê técnico, se houver. Prazo de aferição: </w:t>
      </w:r>
      <w:r>
        <w:rPr>
          <w:highlight w:val="yellow"/>
        </w:rPr>
        <w:t>[Prazo de aferição]</w:t>
      </w:r>
      <w:r>
        <w:t>.</w:t>
      </w:r>
    </w:p>
    <w:p>
      <w:r>
        <w:rPr>
          <w:i/>
          <w:sz w:val="18"/>
        </w:rPr>
        <w:t>Base: Lei Complementar 182/2021, art. 14, § 1º, I; Manual do Contrato Público para Solução Inovadora (AGU, 2025), parte I, item 4.3</w:t>
      </w:r>
    </w:p>
    <w:p>
      <w:r>
        <w:t>3. Etapa 2, protótipo e validação em ambiente controlado (</w:t>
      </w:r>
      <w:r>
        <w:rPr>
          <w:highlight w:val="yellow"/>
        </w:rPr>
        <w:t>[Prazo da etapa 2]</w:t>
      </w:r>
      <w:r>
        <w:t xml:space="preserve">). Meta: a solução atinge o desempenho do alvo em ambiente controlado. Indicador: </w:t>
      </w:r>
      <w:r>
        <w:rPr>
          <w:highlight w:val="yellow"/>
        </w:rPr>
        <w:t>[Indicador do resultado]</w:t>
      </w:r>
      <w:r>
        <w:t xml:space="preserve">, medido em ambiente controlado. Linha de base: </w:t>
      </w:r>
      <w:r>
        <w:rPr>
          <w:highlight w:val="yellow"/>
        </w:rPr>
        <w:t>[Linha de base do indicador]</w:t>
      </w:r>
      <w:r>
        <w:t xml:space="preserve">. Alvo: </w:t>
      </w:r>
      <w:r>
        <w:rPr>
          <w:highlight w:val="yellow"/>
        </w:rPr>
        <w:t>[Meta do indicador]</w:t>
      </w:r>
      <w:r>
        <w:t xml:space="preserve">. Evidência: relatório de validação com registros. Quem afere: fiscal técnico. Prazo de aferição: </w:t>
      </w:r>
      <w:r>
        <w:rPr>
          <w:highlight w:val="yellow"/>
        </w:rPr>
        <w:t>[Prazo de aferição]</w:t>
      </w:r>
      <w:r>
        <w:t>.</w:t>
      </w:r>
    </w:p>
    <w:p>
      <w:r>
        <w:rPr>
          <w:i/>
          <w:sz w:val="18"/>
        </w:rPr>
        <w:t>Base: Lei Complementar 182/2021, art. 14, § 1º, I; Manual do Contrato Público para Solução Inovadora (AGU, 2025), parte I, item 4.3</w:t>
      </w:r>
    </w:p>
    <w:p>
      <w:r>
        <w:t>4. Etapa 3, piloto em ambiente real (</w:t>
      </w:r>
      <w:r>
        <w:rPr>
          <w:highlight w:val="yellow"/>
        </w:rPr>
        <w:t>[Prazo da etapa 3]</w:t>
      </w:r>
      <w:r>
        <w:t xml:space="preserve">). Meta: melhora do indicador principal em ambiente real. Indicador: </w:t>
      </w:r>
      <w:r>
        <w:rPr>
          <w:highlight w:val="yellow"/>
        </w:rPr>
        <w:t>[Indicador do resultado]</w:t>
      </w:r>
      <w:r>
        <w:t xml:space="preserve">. Linha de base: </w:t>
      </w:r>
      <w:r>
        <w:rPr>
          <w:highlight w:val="yellow"/>
        </w:rPr>
        <w:t>[Linha de base do indicador]</w:t>
      </w:r>
      <w:r>
        <w:t xml:space="preserve">. Alvo: </w:t>
      </w:r>
      <w:r>
        <w:rPr>
          <w:highlight w:val="yellow"/>
        </w:rPr>
        <w:t>[Meta do indicador]</w:t>
      </w:r>
      <w:r>
        <w:t xml:space="preserve">. Evidência: medição comparativa antes e depois. Quem afere: fiscal técnico. Prazo de aferição: </w:t>
      </w:r>
      <w:r>
        <w:rPr>
          <w:highlight w:val="yellow"/>
        </w:rPr>
        <w:t>[Prazo de aferição das etapas 3 e 4]</w:t>
      </w:r>
      <w:r>
        <w:t>.</w:t>
      </w:r>
    </w:p>
    <w:p>
      <w:r>
        <w:rPr>
          <w:i/>
          <w:sz w:val="18"/>
        </w:rPr>
        <w:t>Base: Lei Complementar 182/2021, art. 14, § 1º, I; Manual do Contrato Público para Solução Inovadora (AGU, 2025), parte I, item 4.3</w:t>
      </w:r>
    </w:p>
    <w:p>
      <w:commentRangeStart w:id="1"/>
      <w:r>
        <w:t>5. Etapa 4, consolidação dos resultados e relatório final (</w:t>
      </w:r>
      <w:r>
        <w:rPr>
          <w:highlight w:val="yellow"/>
        </w:rPr>
        <w:t>[Prazo da etapa 4]</w:t>
      </w:r>
      <w:r>
        <w:t xml:space="preserve">). Meta: Relatório de Conclusão recebido. Indicador: recebimento definitivo. Linha de base: não se aplica. Alvo: recebimento sem ressalva. Evidência: termo de recebimento definitivo. Quem afere: gestor do contrato. Prazo de aferição: </w:t>
      </w:r>
      <w:r>
        <w:rPr>
          <w:highlight w:val="yellow"/>
        </w:rPr>
        <w:t>[Prazo de aferição das etapas 3 e 4]</w:t>
      </w:r>
      <w:r>
        <w:t>.</w:t>
      </w:r>
      <w:commentRangeEnd w:id="1"/>
      <w:r>
        <w:rPr>
          <w:rStyle w:val="CommentReference"/>
        </w:rPr>
        <w:commentReference w:id="1"/>
      </w:r>
    </w:p>
    <w:p>
      <w:r>
        <w:rPr>
          <w:i/>
          <w:sz w:val="18"/>
        </w:rPr>
        <w:t>Base: Lei Complementar 182/2021, art. 14, § 1º, I; Lei Complementar 182/2021, art. 14, § 1º, II</w:t>
      </w:r>
    </w:p>
    <w:p>
      <w:r>
        <w:t>Escolha uma (Margem de tolerância):</w:t>
      </w:r>
    </w:p>
    <w:p>
      <w:commentRangeStart w:id="2"/>
      <w:r>
        <w:t xml:space="preserve">A) </w:t>
      </w:r>
      <w:r>
        <w:t>6. Não há margem de tolerância: a meta é cumprida quando o indicador atinge o alvo.</w:t>
      </w:r>
      <w:commentRangeEnd w:id="2"/>
      <w:r>
        <w:rPr>
          <w:rStyle w:val="CommentReference"/>
        </w:rPr>
        <w:commentReference w:id="2"/>
      </w:r>
    </w:p>
    <w:p>
      <w:commentRangeStart w:id="3"/>
      <w:r>
        <w:t xml:space="preserve">B) </w:t>
      </w:r>
      <w:r>
        <w:t xml:space="preserve">6. Cada indicador tem margem de tolerância de </w:t>
      </w:r>
      <w:r>
        <w:rPr>
          <w:highlight w:val="yellow"/>
        </w:rPr>
        <w:t>[Margem de tolerância por indicador]</w:t>
      </w:r>
      <w:r>
        <w:t>. Resultado dentro da margem conta como meta cumprida.</w:t>
      </w:r>
      <w:commentRangeEnd w:id="3"/>
      <w:r>
        <w:rPr>
          <w:rStyle w:val="CommentReference"/>
        </w:rPr>
        <w:commentReference w:id="3"/>
      </w:r>
    </w:p>
    <w:p>
      <w:r>
        <w:rPr>
          <w:i/>
          <w:sz w:val="18"/>
        </w:rPr>
        <w:t>Base: Lei Complementar 182/2021, art. 14, § 1º, I</w:t>
      </w:r>
    </w:p>
    <w:p>
      <w:r>
        <w:t xml:space="preserve">7. Metodologia de aferição: </w:t>
      </w:r>
      <w:r>
        <w:rPr>
          <w:highlight w:val="yellow"/>
        </w:rPr>
        <w:t>[Método de aferição das metas]</w:t>
      </w:r>
      <w:r>
        <w:t xml:space="preserve">. A entrega de cada etapa gera recebimento provisório pelos fiscais e recebimento definitivo pelo gestor do contrato. Divergências serão resolvidas por </w:t>
      </w:r>
      <w:r>
        <w:rPr>
          <w:highlight w:val="yellow"/>
        </w:rPr>
        <w:t>[Solução de divergências]</w:t>
      </w:r>
      <w:r>
        <w:t>. Outros mecanismos de avaliação podem ser usados junto com este quadro.</w:t>
      </w:r>
    </w:p>
    <w:p>
      <w:r>
        <w:rPr>
          <w:i/>
          <w:sz w:val="18"/>
        </w:rPr>
        <w:t>Base: Lei Complementar 182/2021, art. 14, § 1º, I; Modelo de Contrato do CPSI, com notas explicativas (AGU, atualização de 26/02/2025, versão final), itens 9.6.1, 9.6.2 e 10.1 a 10.5</w:t>
      </w:r>
    </w:p>
    <w:p>
      <w:r>
        <w:t>8. Cada etapa tem o valor e o critério de remuneração do cronograma físico-financeiro negociado. A remuneração variável de incentivo, se houver, só é paga com a meta alcançada. Quando a meta não for atingida por risco tecnológico ou outro fator alheio à vontade da contratada, não há glosa no pagamento, salvo a perda da remuneração variável de incentivo vinculada à meta.</w:t>
      </w:r>
    </w:p>
    <w:p>
      <w:r>
        <w:rPr>
          <w:i/>
          <w:sz w:val="18"/>
        </w:rPr>
        <w:t>Base: Lei Complementar 182/2021, art. 14, § 5º; Lei Complementar 182/2021, art. 14, § 6º; Modelo de Contrato do CPSI, com notas explicativas (AGU, atualização de 26/02/2025, versão final), cláusulas 11.16 e 11.17</w:t>
      </w:r>
    </w:p>
    <w:p>
      <w:r>
        <w:t>8.1 Também não se aplica sanção quando o descumprimento da meta decorrer do risco tecnológico ou de outro fator alheio à vontade da contratada, considerada a incerteza do processo de inovação.</w:t>
      </w:r>
    </w:p>
    <w:p>
      <w:r>
        <w:rPr>
          <w:i/>
          <w:sz w:val="18"/>
        </w:rPr>
        <w:t>Base: Lei 14.133/2021, art. 22, § 1º e § 2º, no que couber; Modelo de Contrato do CPSI, com notas explicativas (AGU, atualização de 26/02/2025, versão final), cláusula 15.8; Manual do Contrato Público para Solução Inovadora (AGU, 2025), parte I, item 6.2</w:t>
      </w:r>
    </w:p>
    <w:p>
      <w:commentRangeStart w:id="4"/>
      <w:commentRangeStart w:id="5"/>
      <w:r>
        <w:t>9. As metas e os prazos deste quadro podem ser ajustados na negociação com os selecionados. Na execução, o quadro pode ser alterado por apostilamento, com anuência prévia da contratada, desde que não mude o corpo do contrato; a mudança que alcance o corpo do contrato exige termo aditivo.</w:t>
      </w:r>
      <w:commentRangeEnd w:id="4"/>
      <w:r>
        <w:rPr>
          <w:rStyle w:val="CommentReference"/>
        </w:rPr>
        <w:commentReference w:id="4"/>
      </w:r>
      <w:commentRangeEnd w:id="5"/>
      <w:r>
        <w:rPr>
          <w:rStyle w:val="CommentReference"/>
        </w:rPr>
        <w:commentReference w:id="5"/>
      </w:r>
    </w:p>
    <w:p>
      <w:r>
        <w:rPr>
          <w:i/>
          <w:sz w:val="18"/>
        </w:rPr>
        <w:t>Base: Lei Complementar 182/2021, art. 13, § 9º; Modelo de Edital do CPSI, com notas explicativas (AGU, atualização de 26/02/2025, versão final), item 7.2, I; Modelo de Contrato do CPSI, com notas explicativas (AGU, atualização de 26/02/2025, versão final), item 14.3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 AGU chama este documento de Quadro de metas e indicadores e o põe como anexo II do CPSI. No contrato-modelo, ele substitui o instrumento de medição de resultado dos contratos de serviço comuns e define os padrões de aceitabilidade e o nível de desempenho esperado (nota 9.0). A AGU não tem modelo do anexo.</w:t>
      </w:r>
    </w:p>
  </w:comment>
  <w:comment w:id="1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As etapas seguem as fases que o manual da AGU descreve (prova de conceito, prototipação, validação em ambiente controlado e piloto em ambiente real; parte I, item 4.3). O plano de trabalho da etapa 1 e a consolidação da etapa 4 são sugestão do site. Ajuste o número e os nomes ao caso, com os mesmos nomes no TR, no Plano de Testes e neste quadro. Uma linha por meta, sem prosa.</w:t>
      </w:r>
    </w:p>
  </w:comment>
  <w:comment w:id="2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Mais simples de aferir. Pode punir pequena variação que não compromete o resultado.</w:t>
      </w:r>
    </w:p>
  </w:comment>
  <w:comment w:id="3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O exemplo da PGE-SP prevê indicadores com margens de tolerância (anexo V, item 1.3). Verificação municipal ou estadual necessária.</w:t>
      </w:r>
    </w:p>
  </w:comment>
  <w:comment w:id="4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O art. 13, § 9º, fala só em condições econômicas e critérios de remuneração. Negociar metas e prazos é leitura do edital-modelo da AGU (item 7.2, I), que o site segue. Conferir qual leitura o seu ente adota. Leitura sujeita a revisão jurídica interna do órgão ou entidade antes do uso.</w:t>
      </w:r>
    </w:p>
  </w:comment>
  <w:comment w:id="5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Meta sem método de aferição é a principal causa de conflito na execução. Escreva quem mede, como mede, com que evidência e em quanto tempo.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Quadro de metas e indicadores (anexo II da minuta do CPSI)</w:t>
    </w:r>
  </w:p>
  <w:p>
    <w:r>
      <w:t>Este material é de orientação. Não substitui parecer jurídico nem a análise do controle interno. As normas da base legal e os modelos da AGU foram conferidos em 18 e 19/10/2026, e cada fonte traz o que foi conferido. Conferir a norma do seu ente. Conferido em 18/10/2026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rlito" w:hAnsi="Carlito" w:eastAsia="Carlito" w:cs="Carlito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 w:eastAsia="Carlito" w:cs="Carlito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 w:eastAsia="Carlito" w:cs="Carlito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Carlito" w:hAnsi="Carlito" w:eastAsia="Carlito" w:cs="Carlito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rlito" w:hAnsi="Carlito" w:eastAsia="Carlito" w:cs="Carlito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Carlito" w:hAnsi="Carlito" w:eastAsia="Carlito" w:cs="Carlito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rlito" w:hAnsi="Carlito" w:eastAsia="Carlito" w:cs="Carlito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Fluxo CPSI</dc:creator>
  <cp:keywords/>
  <dc:description>generated by python-docx</dc:description>
  <cp:lastModifiedBy>Fluxo CPSI</cp:lastModifiedBy>
  <cp:revision>1</cp:revision>
  <dcterms:created xsi:type="dcterms:W3CDTF">2026-10-18T00:00:00Z</dcterms:created>
  <dcterms:modified xsi:type="dcterms:W3CDTF">2026-10-18T00:00:00Z</dcterms:modified>
  <cp:category/>
  <cp:lastPrinted>2026-10-18T00:00:00Z</cp:lastPrinted>
</cp:coreProperties>
</file>